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tcPr>
          <w:p>
            <w:pPr>
              <w:pStyle w:val="Normal"/>
              <w:rPr/>
            </w:pPr>
            <w:r>
              <w:rPr>
                <w:b/>
              </w:rPr>
              <w:t>THERE WILL BE A MEETING OF GIGGLESWICK PARISH COUNCIL IN THE PARISH ROOMS ON TUESDAY THE 11</w:t>
            </w:r>
            <w:r>
              <w:rPr>
                <w:b/>
                <w:vertAlign w:val="superscript"/>
              </w:rPr>
              <w:t>th</w:t>
            </w:r>
            <w:r>
              <w:rPr>
                <w:b/>
              </w:rPr>
              <w:t xml:space="preserve"> April 2017, immediately after the Annual Parish Meeting at 6.45pm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Meetings held on the 14</w:t>
      </w:r>
      <w:r>
        <w:rPr>
          <w:b/>
          <w:vertAlign w:val="superscript"/>
        </w:rPr>
        <w:t>th</w:t>
      </w:r>
      <w:r>
        <w:rPr>
          <w:b/>
        </w:rPr>
        <w:t xml:space="preserve"> March 2017.</w:t>
      </w:r>
    </w:p>
    <w:p>
      <w:pPr>
        <w:pStyle w:val="Normal"/>
        <w:ind w:left="360" w:hanging="0"/>
        <w:rPr/>
      </w:pPr>
      <w:r>
        <w:rPr/>
        <w:t xml:space="preserve">To </w:t>
      </w:r>
      <w:r>
        <w:rPr>
          <w:b/>
        </w:rPr>
        <w:t xml:space="preserve">approve and sign </w:t>
      </w:r>
      <w:r>
        <w:rPr/>
        <w:t>the Minutes of the Meetings as a correct record.</w:t>
      </w:r>
    </w:p>
    <w:p>
      <w:pPr>
        <w:pStyle w:val="Normal"/>
        <w:ind w:left="360" w:hanging="0"/>
        <w:rPr/>
      </w:pPr>
      <w:r>
        <w:rPr/>
      </w:r>
    </w:p>
    <w:p>
      <w:pPr>
        <w:pStyle w:val="Normal"/>
        <w:numPr>
          <w:ilvl w:val="0"/>
          <w:numId w:val="1"/>
        </w:numPr>
        <w:rPr>
          <w:b/>
          <w:b/>
        </w:rPr>
      </w:pPr>
      <w:r>
        <w:rPr>
          <w:b/>
        </w:rPr>
        <w:t xml:space="preserve">To receive reports from District and County Councillor and the Police. </w:t>
      </w:r>
    </w:p>
    <w:p>
      <w:pPr>
        <w:pStyle w:val="Normal"/>
        <w:rPr>
          <w:b/>
          <w:b/>
        </w:rPr>
      </w:pPr>
      <w:r>
        <w:rPr>
          <w:b/>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b/>
          <w:b/>
        </w:rPr>
      </w:pPr>
      <w:r>
        <w:rPr>
          <w:b/>
        </w:rPr>
        <w:t>To consider new Planning applications, decisions, and Other Planning Matters.</w:t>
      </w:r>
    </w:p>
    <w:p>
      <w:pPr>
        <w:pStyle w:val="Normal"/>
        <w:numPr>
          <w:ilvl w:val="1"/>
          <w:numId w:val="1"/>
        </w:numPr>
        <w:rPr>
          <w:b/>
          <w:b/>
          <w:u w:val="single"/>
        </w:rPr>
      </w:pPr>
      <w:r>
        <w:rPr>
          <w:b/>
          <w:u w:val="single"/>
        </w:rPr>
        <w:t>Applications</w:t>
      </w:r>
    </w:p>
    <w:p>
      <w:pPr>
        <w:pStyle w:val="NoSpacing"/>
        <w:rPr/>
      </w:pPr>
      <w:r>
        <w:rPr>
          <w:rFonts w:cs="Times New Roman" w:ascii="Times New Roman" w:hAnsi="Times New Roman"/>
          <w:sz w:val="24"/>
          <w:szCs w:val="24"/>
        </w:rPr>
        <w:tab/>
        <w:t xml:space="preserve">CDC: 31/2016/17541 – proposed dwellings and associated external alterations at Well House, </w:t>
        <w:tab/>
        <w:tab/>
        <w:tab/>
        <w:t xml:space="preserve">Bankwell Road: amended proposals </w:t>
      </w:r>
    </w:p>
    <w:p>
      <w:pPr>
        <w:pStyle w:val="NoSpacing"/>
        <w:rPr/>
      </w:pPr>
      <w:r>
        <w:rPr>
          <w:rFonts w:cs="Times New Roman" w:ascii="Times New Roman" w:hAnsi="Times New Roman"/>
          <w:sz w:val="24"/>
          <w:szCs w:val="24"/>
        </w:rPr>
        <w:tab/>
        <w:t xml:space="preserve">YDNPA: C/31/657 – erection of extension to form integral garage and sunroom to replace existing </w:t>
        <w:tab/>
        <w:tab/>
        <w:t xml:space="preserve">utility and sunroom on south elevation, and excavation and surfacing works to front of </w:t>
        <w:tab/>
        <w:tab/>
        <w:tab/>
        <w:t xml:space="preserve">dwelling to create new driveway (part retrospective), Greenstones, The Mains </w:t>
      </w:r>
    </w:p>
    <w:p>
      <w:pPr>
        <w:pStyle w:val="NoSpacing"/>
        <w:rPr>
          <w:rFonts w:ascii="Times New Roman" w:hAnsi="Times New Roman" w:cs="Times New Roman"/>
          <w:sz w:val="24"/>
          <w:szCs w:val="24"/>
        </w:rPr>
      </w:pPr>
      <w:r>
        <w:rPr>
          <w:rFonts w:cs="Times New Roman" w:ascii="Times New Roman" w:hAnsi="Times New Roman"/>
          <w:sz w:val="24"/>
          <w:szCs w:val="24"/>
        </w:rPr>
        <w:tab/>
        <w:t xml:space="preserve">YDNPA: C/31/655 &amp; 655A/LB – amended details for full planning permission for conversion of </w:t>
        <w:tab/>
        <w:tab/>
        <w:tab/>
        <w:t>coach house to wo short stay holiday lets, Old Hall, Stackhouse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b/>
          <w:b/>
          <w:u w:val="single"/>
        </w:rPr>
      </w:pPr>
      <w:r>
        <w:rPr>
          <w:b/>
        </w:rPr>
        <w:t xml:space="preserve">      </w:t>
      </w:r>
      <w:r>
        <w:rPr>
          <w:b/>
        </w:rPr>
        <w:t>6.2</w:t>
        <w:tab/>
      </w:r>
      <w:r>
        <w:rPr>
          <w:b/>
          <w:u w:val="single"/>
        </w:rPr>
        <w:t>Decisions</w:t>
      </w:r>
    </w:p>
    <w:p>
      <w:pPr>
        <w:pStyle w:val="NoSpacing"/>
        <w:rPr/>
      </w:pPr>
      <w:r>
        <w:rPr>
          <w:rFonts w:eastAsia="Times New Roman" w:cs="Times New Roman" w:ascii="Times New Roman" w:hAnsi="Times New Roman"/>
          <w:sz w:val="24"/>
          <w:szCs w:val="20"/>
        </w:rPr>
        <w:tab/>
      </w:r>
      <w:r>
        <w:rPr>
          <w:rFonts w:eastAsia="Times New Roman" w:cs="Times New Roman" w:ascii="Times New Roman" w:hAnsi="Times New Roman"/>
          <w:sz w:val="24"/>
          <w:szCs w:val="24"/>
        </w:rPr>
        <w:t xml:space="preserve">YDNPA: C/31/640B – full planning permission for erection of garden room/office within the </w:t>
        <w:tab/>
        <w:tab/>
        <w:tab/>
        <w:t xml:space="preserve">residential curtilage, 5 Stackhouse Lane: </w:t>
      </w:r>
      <w:r>
        <w:rPr>
          <w:rFonts w:eastAsia="Times New Roman" w:cs="Times New Roman" w:ascii="Times New Roman" w:hAnsi="Times New Roman"/>
          <w:b/>
          <w:i/>
          <w:sz w:val="24"/>
          <w:szCs w:val="24"/>
          <w:u w:val="single"/>
        </w:rPr>
        <w:t>approved conditionally</w:t>
      </w:r>
    </w:p>
    <w:p>
      <w:pPr>
        <w:pStyle w:val="NoSpacing"/>
        <w:rPr/>
      </w:pPr>
      <w:r>
        <w:rPr>
          <w:rFonts w:cs="Times New Roman" w:ascii="Times New Roman" w:hAnsi="Times New Roman"/>
          <w:sz w:val="24"/>
          <w:szCs w:val="24"/>
        </w:rPr>
        <w:tab/>
        <w:t xml:space="preserve"> YDNPA: C/31/150B – demolition of existing double garage, erection of new double garage in new </w:t>
        <w:tab/>
        <w:tab/>
        <w:t xml:space="preserve">position and erection of single storey side extension to form sunroom, The Riddings, </w:t>
        <w:tab/>
        <w:tab/>
        <w:tab/>
        <w:t xml:space="preserve">Stackhouse Lane; </w:t>
      </w:r>
      <w:r>
        <w:rPr>
          <w:rFonts w:cs="Times New Roman" w:ascii="Times New Roman" w:hAnsi="Times New Roman"/>
          <w:b/>
          <w:i/>
          <w:sz w:val="24"/>
          <w:szCs w:val="24"/>
          <w:u w:val="single"/>
        </w:rPr>
        <w:t>approved conditionally</w:t>
      </w:r>
    </w:p>
    <w:p>
      <w:pPr>
        <w:pStyle w:val="NoSpacing"/>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Spacing"/>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sz w:val="24"/>
          <w:szCs w:val="24"/>
        </w:rPr>
        <w:t>6.3.1</w:t>
      </w:r>
      <w:r>
        <w:rPr>
          <w:rFonts w:cs="Times New Roman" w:ascii="Times New Roman" w:hAnsi="Times New Roman"/>
          <w:b w:val="false"/>
          <w:bCs w:val="false"/>
          <w:sz w:val="24"/>
          <w:szCs w:val="24"/>
        </w:rPr>
        <w:tab/>
        <w:t xml:space="preserve">Alleged breach of Planning Control: creation of 2 parking spaces prior to decision of 31/2016/17541 </w:t>
        <w:tab/>
        <w:t>and 17542, Well House, Bankwell Road</w:t>
      </w:r>
    </w:p>
    <w:p>
      <w:pPr>
        <w:pStyle w:val="NoSpacing"/>
        <w:rPr>
          <w:b/>
          <w:b/>
          <w:bCs/>
        </w:rPr>
      </w:pPr>
      <w:r>
        <w:rPr>
          <w:rFonts w:cs="Times New Roman" w:ascii="Times New Roman" w:hAnsi="Times New Roman"/>
          <w:b/>
          <w:bCs/>
          <w:sz w:val="24"/>
          <w:szCs w:val="24"/>
        </w:rPr>
        <w:t>6.2.2</w:t>
        <w:tab/>
      </w:r>
      <w:r>
        <w:rPr>
          <w:rFonts w:cs="Times New Roman" w:ascii="Times New Roman" w:hAnsi="Times New Roman"/>
          <w:b w:val="false"/>
          <w:bCs w:val="false"/>
          <w:sz w:val="24"/>
          <w:szCs w:val="24"/>
        </w:rPr>
        <w:t>Craven Spatial Planning Sub-Committee: final version of Strategic Flood Risk Assessment</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rPr>
          <w:b/>
          <w:b/>
        </w:rPr>
      </w:pPr>
      <w:r>
        <w:rPr>
          <w:b/>
        </w:rPr>
        <w:t>To receive reports and reach decisions on various Village Matters.</w:t>
      </w:r>
    </w:p>
    <w:p>
      <w:pPr>
        <w:pStyle w:val="Normal"/>
        <w:numPr>
          <w:ilvl w:val="1"/>
          <w:numId w:val="1"/>
        </w:numPr>
        <w:rPr/>
      </w:pPr>
      <w:r>
        <w:rPr/>
        <w:t xml:space="preserve"> </w:t>
      </w:r>
      <w:r>
        <w:rPr>
          <w:b/>
        </w:rPr>
        <w:t xml:space="preserve"> </w:t>
      </w:r>
      <w:r>
        <w:rPr>
          <w:b/>
        </w:rPr>
        <w:tab/>
      </w:r>
      <w:r>
        <w:rPr/>
        <w:t>Harrison Playing Fields: update on official opening;</w:t>
      </w:r>
      <w:r>
        <w:rPr>
          <w:szCs w:val="24"/>
        </w:rPr>
        <w:t xml:space="preserve"> update on obtaining estimate for future </w:t>
        <w:tab/>
        <w:t xml:space="preserve">grass cutting contract from Countrywide Grounds Maintenance; update on water pipe </w:t>
        <w:tab/>
        <w:t>maintenance work in Lower Fellings</w:t>
      </w:r>
    </w:p>
    <w:p>
      <w:pPr>
        <w:pStyle w:val="Normal"/>
        <w:numPr>
          <w:ilvl w:val="1"/>
          <w:numId w:val="1"/>
        </w:numPr>
        <w:rPr/>
      </w:pPr>
      <w:r>
        <w:rPr>
          <w:szCs w:val="24"/>
        </w:rPr>
        <w:tab/>
        <w:t>Obtained estimates for village grass cutting areas</w:t>
      </w:r>
      <w:r>
        <w:rPr>
          <w:b/>
          <w:szCs w:val="24"/>
        </w:rPr>
        <w:t xml:space="preserve">, </w:t>
      </w:r>
      <w:r>
        <w:rPr>
          <w:b w:val="false"/>
          <w:bCs w:val="false"/>
          <w:szCs w:val="24"/>
        </w:rPr>
        <w:t xml:space="preserve">incl. update on GGG </w:t>
      </w:r>
    </w:p>
    <w:p>
      <w:pPr>
        <w:pStyle w:val="Normal"/>
        <w:numPr>
          <w:ilvl w:val="1"/>
          <w:numId w:val="1"/>
        </w:numPr>
        <w:rPr>
          <w:b/>
          <w:b/>
        </w:rPr>
      </w:pPr>
      <w:r>
        <w:rPr>
          <w:szCs w:val="24"/>
        </w:rPr>
        <w:tab/>
        <w:t>Update on transfer of small parcel of land at bottom of Belle Hill</w:t>
      </w:r>
    </w:p>
    <w:p>
      <w:pPr>
        <w:pStyle w:val="Normal"/>
        <w:numPr>
          <w:ilvl w:val="1"/>
          <w:numId w:val="1"/>
        </w:numPr>
        <w:rPr/>
      </w:pPr>
      <w:r>
        <w:rPr>
          <w:szCs w:val="24"/>
        </w:rPr>
        <w:tab/>
        <w:t xml:space="preserve">Update on street lighting matters: </w:t>
      </w:r>
    </w:p>
    <w:p>
      <w:pPr>
        <w:pStyle w:val="Normal"/>
        <w:numPr>
          <w:ilvl w:val="1"/>
          <w:numId w:val="1"/>
        </w:numPr>
        <w:rPr/>
      </w:pPr>
      <w:r>
        <w:rPr>
          <w:szCs w:val="24"/>
        </w:rPr>
        <w:tab/>
        <w:t>Update on possible additional village notice board at Four Lane Ends</w:t>
      </w:r>
      <w:r>
        <w:rPr/>
        <w:tab/>
        <w:t xml:space="preserve"> </w:t>
      </w:r>
    </w:p>
    <w:p>
      <w:pPr>
        <w:pStyle w:val="Normal"/>
        <w:numPr>
          <w:ilvl w:val="1"/>
          <w:numId w:val="1"/>
        </w:numPr>
        <w:rPr/>
      </w:pPr>
      <w:r>
        <w:rPr>
          <w:szCs w:val="24"/>
        </w:rPr>
        <w:tab/>
        <w:t xml:space="preserve">Update on maintenance matter large pothole on Bankwell Road between entrance to Lords </w:t>
        <w:tab/>
        <w:t>Close and Sandholme Barn</w:t>
      </w:r>
    </w:p>
    <w:p>
      <w:pPr>
        <w:pStyle w:val="Normal"/>
        <w:numPr>
          <w:ilvl w:val="1"/>
          <w:numId w:val="1"/>
        </w:numPr>
        <w:rPr/>
      </w:pPr>
      <w:r>
        <w:rPr>
          <w:szCs w:val="24"/>
        </w:rPr>
        <w:tab/>
        <w:t>Update on Community emergency plan</w:t>
      </w:r>
    </w:p>
    <w:p>
      <w:pPr>
        <w:pStyle w:val="Normal"/>
        <w:numPr>
          <w:ilvl w:val="1"/>
          <w:numId w:val="1"/>
        </w:numPr>
        <w:rPr/>
      </w:pPr>
      <w:r>
        <w:rPr>
          <w:b/>
        </w:rPr>
        <w:tab/>
      </w:r>
      <w:r>
        <w:rPr>
          <w:b w:val="false"/>
          <w:bCs w:val="false"/>
          <w:szCs w:val="24"/>
        </w:rPr>
        <w:t>Update on maintenance costs telephone kiosk with a view to adoption by the Council</w:t>
      </w:r>
    </w:p>
    <w:p>
      <w:pPr>
        <w:pStyle w:val="Normal"/>
        <w:numPr>
          <w:ilvl w:val="1"/>
          <w:numId w:val="1"/>
        </w:numPr>
        <w:rPr/>
      </w:pPr>
      <w:r>
        <w:rPr/>
        <w:t xml:space="preserve">            </w:t>
      </w:r>
      <w:r>
        <w:rPr/>
        <w:t>PBA Applied Ecology Ltd move to Stackhouse &amp; PBA newsletter</w:t>
      </w:r>
    </w:p>
    <w:p>
      <w:pPr>
        <w:pStyle w:val="Normal"/>
        <w:numPr>
          <w:ilvl w:val="1"/>
          <w:numId w:val="1"/>
        </w:numPr>
        <w:rPr>
          <w:szCs w:val="24"/>
        </w:rPr>
      </w:pPr>
      <w:r>
        <w:rPr>
          <w:szCs w:val="24"/>
        </w:rPr>
        <w:t>Yorkshire Water: Water Cycle Challenge through Giggleswick 1 July 2017</w:t>
      </w:r>
    </w:p>
    <w:p>
      <w:pPr>
        <w:pStyle w:val="Normal"/>
        <w:ind w:left="360" w:hanging="0"/>
        <w:rPr/>
      </w:pPr>
      <w:r>
        <w:rPr/>
      </w:r>
    </w:p>
    <w:p>
      <w:pPr>
        <w:pStyle w:val="Normal"/>
        <w:numPr>
          <w:ilvl w:val="0"/>
          <w:numId w:val="1"/>
        </w:numPr>
        <w:rPr>
          <w:b/>
          <w:b/>
        </w:rPr>
      </w:pPr>
      <w:r>
        <w:rPr>
          <w:b/>
        </w:rPr>
        <w:t>To receive and take decisions on various Financial Matters.</w:t>
      </w:r>
    </w:p>
    <w:p>
      <w:pPr>
        <w:pStyle w:val="Normal"/>
        <w:numPr>
          <w:ilvl w:val="1"/>
          <w:numId w:val="1"/>
        </w:numPr>
        <w:rPr/>
      </w:pPr>
      <w:r>
        <w:rPr>
          <w:b/>
        </w:rPr>
        <w:t>To receive Financial Statement to 31</w:t>
      </w:r>
      <w:r>
        <w:rPr>
          <w:b/>
          <w:vertAlign w:val="superscript"/>
        </w:rPr>
        <w:t>th</w:t>
      </w:r>
      <w:r>
        <w:rPr>
          <w:b/>
        </w:rPr>
        <w:t xml:space="preserve"> March 2017 and Annual Accounts</w:t>
      </w:r>
    </w:p>
    <w:p>
      <w:pPr>
        <w:pStyle w:val="Normal"/>
        <w:numPr>
          <w:ilvl w:val="1"/>
          <w:numId w:val="1"/>
        </w:numPr>
        <w:rPr/>
      </w:pPr>
      <w:r>
        <w:rPr>
          <w:b/>
        </w:rPr>
        <w:t>To approve reviewed Clerk’s salary to SCP 21 at £10.467 per hour</w:t>
      </w:r>
    </w:p>
    <w:p>
      <w:pPr>
        <w:pStyle w:val="Normal"/>
        <w:numPr>
          <w:ilvl w:val="1"/>
          <w:numId w:val="1"/>
        </w:numPr>
        <w:rPr>
          <w:b/>
          <w:b/>
        </w:rPr>
      </w:pPr>
      <w:r>
        <w:rPr>
          <w:b/>
        </w:rPr>
        <w:t>To approve payment of the following accounts:-</w:t>
      </w:r>
      <w:r>
        <w:rPr/>
        <w:tab/>
        <w:t xml:space="preserve">  net</w:t>
        <w:tab/>
        <w:tab/>
        <w:tab/>
        <w:t>vat</w:t>
        <w:tab/>
        <w:tab/>
        <w:t xml:space="preserve"> total</w:t>
      </w:r>
    </w:p>
    <w:p>
      <w:pPr>
        <w:pStyle w:val="Normal"/>
        <w:ind w:left="360" w:hanging="0"/>
        <w:rPr/>
      </w:pPr>
      <w:r>
        <w:rPr/>
        <w:tab/>
        <w:t>NYCC street lighting energy costs 2016-17</w:t>
        <w:tab/>
        <w:tab/>
        <w:t>£2,274.42</w:t>
        <w:tab/>
        <w:tab/>
        <w:t>£454.88</w:t>
        <w:tab/>
        <w:t>£2,729.30</w:t>
      </w:r>
    </w:p>
    <w:p>
      <w:pPr>
        <w:pStyle w:val="Normal"/>
        <w:ind w:left="360" w:hanging="0"/>
        <w:rPr/>
      </w:pPr>
      <w:r>
        <w:rPr/>
        <w:tab/>
        <w:t>Horton Landscaping Ltd (grass cutting March)</w:t>
        <w:tab/>
        <w:t>£   200.00</w:t>
        <w:tab/>
        <w:tab/>
        <w:t>£  40.00</w:t>
        <w:tab/>
        <w:t>£   240.00</w:t>
      </w:r>
    </w:p>
    <w:p>
      <w:pPr>
        <w:pStyle w:val="Normal"/>
        <w:ind w:left="360" w:hanging="0"/>
        <w:rPr/>
      </w:pPr>
      <w:r>
        <w:rPr/>
        <w:tab/>
        <w:t>E.ON (outstanding invoices seasonal illuminations)</w:t>
        <w:tab/>
        <w:tab/>
        <w:tab/>
        <w:tab/>
        <w:t>tbc</w:t>
        <w:tab/>
        <w:tab/>
        <w:t>£   224.31</w:t>
      </w:r>
    </w:p>
    <w:p>
      <w:pPr>
        <w:pStyle w:val="Normal"/>
        <w:ind w:left="360" w:hanging="0"/>
        <w:rPr/>
      </w:pPr>
      <w:r>
        <w:rPr/>
        <w:tab/>
        <w:t>M. Hill (Clerk’s salary)</w:t>
        <w:tab/>
        <w:tab/>
        <w:tab/>
        <w:tab/>
        <w:tab/>
        <w:tab/>
        <w:t xml:space="preserve">  </w:t>
        <w:tab/>
      </w:r>
      <w:r>
        <w:rPr>
          <w:szCs w:val="24"/>
        </w:rPr>
        <w:tab/>
      </w:r>
      <w:r>
        <w:rPr/>
        <w:tab/>
        <w:t>£   366.34</w:t>
      </w:r>
    </w:p>
    <w:p>
      <w:pPr>
        <w:pStyle w:val="Normal"/>
        <w:ind w:left="360" w:hanging="0"/>
        <w:rPr/>
      </w:pPr>
      <w:r>
        <w:rPr/>
        <w:tab/>
      </w:r>
      <w:r>
        <w:rPr>
          <w:b/>
          <w:bCs/>
        </w:rPr>
        <w:t xml:space="preserve">Received: </w:t>
      </w:r>
    </w:p>
    <w:p>
      <w:pPr>
        <w:pStyle w:val="Normal"/>
        <w:ind w:left="360" w:hanging="0"/>
        <w:rPr/>
      </w:pPr>
      <w:r>
        <w:rPr>
          <w:b/>
          <w:bCs w:val="false"/>
        </w:rPr>
        <w:tab/>
      </w:r>
      <w:r>
        <w:rPr>
          <w:b w:val="false"/>
          <w:bCs w:val="false"/>
        </w:rPr>
        <w:t>M. Hill (personal part of upgrade computer)</w:t>
        <w:tab/>
        <w:tab/>
        <w:tab/>
        <w:tab/>
        <w:tab/>
        <w:tab/>
        <w:tab/>
        <w:t>£     52.58</w:t>
      </w:r>
    </w:p>
    <w:p>
      <w:pPr>
        <w:pStyle w:val="Normal"/>
        <w:ind w:left="360" w:hanging="0"/>
        <w:rPr/>
      </w:pPr>
      <w:r>
        <w:rPr>
          <w:b w:val="false"/>
          <w:bCs w:val="false"/>
        </w:rPr>
        <w:tab/>
        <w:t>Giggleswick School</w:t>
        <w:tab/>
        <w:tab/>
        <w:tab/>
        <w:tab/>
        <w:tab/>
        <w:tab/>
        <w:tab/>
        <w:tab/>
        <w:tab/>
        <w:tab/>
        <w:t>£       1.00</w:t>
      </w:r>
    </w:p>
    <w:p>
      <w:pPr>
        <w:pStyle w:val="Normal"/>
        <w:ind w:left="360" w:hanging="0"/>
        <w:rPr/>
      </w:pPr>
      <w:r>
        <w:rPr>
          <w:b/>
        </w:rPr>
        <w:t>8.4</w:t>
        <w:tab/>
        <w:t xml:space="preserve">To receive and approve Section 1 – Annual Governance Statement 2016/17 of the Annual </w:t>
        <w:tab/>
        <w:t>Return for the Year ended 31 March 2017</w:t>
      </w:r>
    </w:p>
    <w:p>
      <w:pPr>
        <w:pStyle w:val="Normal"/>
        <w:ind w:left="360" w:hanging="0"/>
        <w:rPr/>
      </w:pPr>
      <w:r>
        <w:rPr>
          <w:b/>
        </w:rPr>
        <w:t>8.5</w:t>
        <w:tab/>
        <w:t xml:space="preserve">To receive draft Section 2 – Accounting Statements 2016/17 of the Annual Return for the Year </w:t>
        <w:tab/>
        <w:t xml:space="preserve">ended 31 March 2017 </w:t>
      </w:r>
    </w:p>
    <w:p>
      <w:pPr>
        <w:pStyle w:val="Normal"/>
        <w:ind w:left="360" w:hanging="0"/>
        <w:rPr/>
      </w:pPr>
      <w:r>
        <w:rPr>
          <w:b/>
        </w:rPr>
        <w:t>8.6</w:t>
        <w:tab/>
        <w:t>To receive update re S106 planning gain sum of £7,729.00 for Lords Close development</w:t>
      </w:r>
    </w:p>
    <w:p>
      <w:pPr>
        <w:pStyle w:val="Normal"/>
        <w:ind w:left="360" w:hanging="0"/>
        <w:rPr/>
      </w:pPr>
      <w:r>
        <w:rPr>
          <w:b/>
        </w:rPr>
        <w:t>8.7</w:t>
        <w:tab/>
        <w:t>To verify bank statements Q4 of Financial Year 2016/17</w:t>
      </w:r>
    </w:p>
    <w:p>
      <w:pPr>
        <w:pStyle w:val="Normal"/>
        <w:ind w:left="360" w:hanging="0"/>
        <w:rPr/>
      </w:pPr>
      <w:r>
        <w:rPr>
          <w:b/>
        </w:rPr>
        <w:t>8.8</w:t>
        <w:tab/>
        <w:t>To consider action re loss of cheque to Settle Community Library</w:t>
      </w:r>
    </w:p>
    <w:p>
      <w:pPr>
        <w:pStyle w:val="Normal"/>
        <w:ind w:left="360" w:hanging="0"/>
        <w:rPr>
          <w:b/>
          <w:b/>
        </w:rPr>
      </w:pPr>
      <w:r>
        <w:rPr>
          <w:b/>
        </w:rPr>
        <w:t xml:space="preserve"> </w:t>
      </w:r>
    </w:p>
    <w:p>
      <w:pPr>
        <w:pStyle w:val="Normal"/>
        <w:numPr>
          <w:ilvl w:val="0"/>
          <w:numId w:val="1"/>
        </w:numPr>
        <w:rPr>
          <w:b/>
          <w:b/>
        </w:rPr>
      </w:pPr>
      <w:bookmarkStart w:id="0" w:name="_GoBack"/>
      <w:bookmarkEnd w:id="0"/>
      <w:r>
        <w:rPr>
          <w:b/>
        </w:rPr>
        <w:t xml:space="preserve">To receive Reports on or Notice of meetings of Other Bodies </w:t>
      </w:r>
    </w:p>
    <w:p>
      <w:pPr>
        <w:pStyle w:val="NoSpacing"/>
        <w:rPr/>
      </w:pPr>
      <w:r>
        <w:rPr>
          <w:rFonts w:ascii="Times New Roman" w:hAnsi="Times New Roman"/>
          <w:b/>
          <w:bCs w:val="false"/>
          <w:sz w:val="24"/>
          <w:szCs w:val="24"/>
        </w:rPr>
        <w:tab/>
      </w:r>
      <w:r>
        <w:rPr>
          <w:rFonts w:ascii="Times New Roman" w:hAnsi="Times New Roman"/>
          <w:b w:val="false"/>
          <w:bCs w:val="false"/>
          <w:sz w:val="24"/>
          <w:szCs w:val="24"/>
        </w:rPr>
        <w:t>* Notice of Election of County Councillors 4 May 2017</w:t>
      </w:r>
    </w:p>
    <w:p>
      <w:pPr>
        <w:pStyle w:val="NoSpacing"/>
        <w:rPr/>
      </w:pPr>
      <w:r>
        <w:rPr>
          <w:rFonts w:ascii="Times New Roman" w:hAnsi="Times New Roman"/>
          <w:b w:val="false"/>
          <w:bCs w:val="false"/>
          <w:sz w:val="24"/>
          <w:szCs w:val="24"/>
        </w:rPr>
        <w:tab/>
        <w:t>* CDC: changes to the Recycling Collection Service</w:t>
      </w:r>
    </w:p>
    <w:p>
      <w:pPr>
        <w:pStyle w:val="NoSpacing"/>
        <w:rPr/>
      </w:pPr>
      <w:r>
        <w:rPr>
          <w:rFonts w:ascii="Times New Roman" w:hAnsi="Times New Roman"/>
          <w:b w:val="false"/>
          <w:bCs w:val="false"/>
          <w:sz w:val="24"/>
          <w:szCs w:val="24"/>
        </w:rPr>
        <w:tab/>
        <w:t>* YDNPA: Parish Forum Meeting, 19 April, Grassington: agenda</w:t>
      </w:r>
    </w:p>
    <w:p>
      <w:pPr>
        <w:pStyle w:val="NoSpacing"/>
        <w:rPr/>
      </w:pPr>
      <w:r>
        <w:rPr>
          <w:rFonts w:ascii="Times New Roman" w:hAnsi="Times New Roman"/>
          <w:b w:val="false"/>
          <w:bCs w:val="false"/>
          <w:sz w:val="24"/>
          <w:szCs w:val="24"/>
        </w:rPr>
        <w:tab/>
        <w:t xml:space="preserve">* </w:t>
      </w:r>
      <w:r>
        <w:rPr>
          <w:rFonts w:ascii="Times New Roman" w:hAnsi="Times New Roman"/>
          <w:b w:val="false"/>
          <w:bCs w:val="false"/>
          <w:sz w:val="24"/>
          <w:szCs w:val="24"/>
        </w:rPr>
        <w:t>NYCC: Craven Area Committee – vacancies for Co-opted Members</w:t>
      </w:r>
    </w:p>
    <w:p>
      <w:pPr>
        <w:pStyle w:val="NoSpacing"/>
        <w:rPr/>
      </w:pPr>
      <w:r>
        <w:rPr>
          <w:rFonts w:cs="Times New Roman" w:ascii="Times New Roman" w:hAnsi="Times New Roman"/>
          <w:b/>
          <w:sz w:val="24"/>
          <w:szCs w:val="24"/>
        </w:rPr>
        <w:tab/>
      </w:r>
      <w:r>
        <w:rPr>
          <w:rFonts w:cs="Times New Roman" w:ascii="Times New Roman" w:hAnsi="Times New Roman"/>
          <w:sz w:val="24"/>
          <w:szCs w:val="24"/>
        </w:rPr>
        <w:t xml:space="preserve">* </w:t>
      </w:r>
      <w:r>
        <w:rPr>
          <w:rFonts w:cs="Times New Roman" w:ascii="Times New Roman" w:hAnsi="Times New Roman"/>
          <w:b w:val="false"/>
          <w:bCs w:val="false"/>
          <w:sz w:val="24"/>
          <w:szCs w:val="24"/>
        </w:rPr>
        <w:t xml:space="preserve">Rural Services Network: Rural Vulnerability Service: Fuel Poverty &amp; Rural Transport, March 2017 </w:t>
      </w:r>
    </w:p>
    <w:p>
      <w:pPr>
        <w:pStyle w:val="Normal"/>
        <w:rPr/>
      </w:pPr>
      <w:r>
        <w:rPr>
          <w:b/>
          <w:bCs/>
        </w:rPr>
        <w:tab/>
        <w:t xml:space="preserve">* </w:t>
      </w:r>
      <w:r>
        <w:rPr>
          <w:b w:val="false"/>
          <w:bCs w:val="false"/>
        </w:rPr>
        <w:t>YLCA: understanding the planning system seminars, 25/3,1/4, 20/4</w:t>
      </w:r>
    </w:p>
    <w:p>
      <w:pPr>
        <w:pStyle w:val="Normal"/>
        <w:rPr/>
      </w:pPr>
      <w:r>
        <w:rPr>
          <w:b w:val="false"/>
          <w:bCs w:val="false"/>
        </w:rPr>
        <w:tab/>
        <w:t xml:space="preserve">* Eden Brows update 38, 39, </w:t>
      </w:r>
    </w:p>
    <w:p>
      <w:pPr>
        <w:pStyle w:val="Normal"/>
        <w:rPr/>
      </w:pPr>
      <w:r>
        <w:rPr>
          <w:b w:val="false"/>
          <w:bCs w:val="false"/>
        </w:rPr>
        <w:tab/>
        <w:t>* Glasdon brochure &amp; Playground packages for 15K – 35K budgets</w:t>
      </w:r>
    </w:p>
    <w:p>
      <w:pPr>
        <w:pStyle w:val="Normal"/>
        <w:rPr/>
      </w:pPr>
      <w:r>
        <w:rPr>
          <w:b w:val="false"/>
          <w:bCs w:val="false"/>
        </w:rPr>
        <w:tab/>
        <w:t>* Healthwatch North Yorkshire update 17 &amp; 26 March</w:t>
      </w:r>
    </w:p>
    <w:p>
      <w:pPr>
        <w:pStyle w:val="Normal"/>
        <w:rPr/>
      </w:pPr>
      <w:r>
        <w:rPr>
          <w:b w:val="false"/>
          <w:bCs w:val="false"/>
        </w:rPr>
        <w:tab/>
        <w:t>* Craven and the First World War Project: Newsletter Spring 2017</w:t>
      </w:r>
    </w:p>
    <w:p>
      <w:pPr>
        <w:pStyle w:val="Normal"/>
        <w:rPr/>
      </w:pPr>
      <w:r>
        <w:rPr>
          <w:b w:val="false"/>
          <w:bCs w:val="false"/>
        </w:rPr>
        <w:tab/>
        <w:t xml:space="preserve">* Plantscape: emails 20/03; 22/03; 29/03; </w:t>
      </w:r>
      <w:r>
        <w:rPr>
          <w:b w:val="false"/>
          <w:bCs w:val="false"/>
        </w:rPr>
        <w:t>06/04</w:t>
      </w:r>
    </w:p>
    <w:p>
      <w:pPr>
        <w:pStyle w:val="Normal"/>
        <w:rPr/>
      </w:pPr>
      <w:r>
        <w:rPr>
          <w:b w:val="false"/>
          <w:bCs w:val="false"/>
        </w:rPr>
        <w:tab/>
        <w:t xml:space="preserve">* RoSPA Playsafety: Routine &amp; Operational Outdoor Playground Inspection Training Course, York, </w:t>
        <w:tab/>
        <w:t xml:space="preserve">   May &amp; June 2017</w:t>
      </w:r>
    </w:p>
    <w:p>
      <w:pPr>
        <w:pStyle w:val="Normal"/>
        <w:rPr/>
      </w:pPr>
      <w:r>
        <w:rPr>
          <w:b w:val="false"/>
          <w:bCs w:val="false"/>
        </w:rPr>
        <w:tab/>
        <w:t xml:space="preserve">* Rural Services Network: weekly email news digest: 20 &amp; 27 March and 3 April 2017 &amp; Rural </w:t>
        <w:tab/>
        <w:t xml:space="preserve"> </w:t>
        <w:tab/>
        <w:t xml:space="preserve">   Economy Spotlight</w:t>
      </w:r>
    </w:p>
    <w:p>
      <w:pPr>
        <w:pStyle w:val="Normal"/>
        <w:rPr/>
      </w:pPr>
      <w:r>
        <w:rPr>
          <w:b w:val="false"/>
          <w:bCs w:val="false"/>
        </w:rPr>
        <w:tab/>
        <w:t>* Keep Britain Tidy – survey</w:t>
      </w:r>
    </w:p>
    <w:p>
      <w:pPr>
        <w:pStyle w:val="Normal"/>
        <w:rPr/>
      </w:pPr>
      <w:r>
        <w:rPr>
          <w:b w:val="false"/>
          <w:bCs w:val="false"/>
        </w:rPr>
        <w:tab/>
        <w:t>* YLCA: Good Councillors Guide 2016: 50p per copy</w:t>
      </w:r>
    </w:p>
    <w:p>
      <w:pPr>
        <w:pStyle w:val="Normal"/>
        <w:rPr/>
      </w:pPr>
      <w:r>
        <w:rPr>
          <w:b w:val="false"/>
          <w:bCs w:val="false"/>
        </w:rPr>
        <w:tab/>
        <w:t>* Stories in Stone: annual celebration</w:t>
      </w:r>
    </w:p>
    <w:p>
      <w:pPr>
        <w:pStyle w:val="Normal"/>
        <w:rPr/>
      </w:pPr>
      <w:r>
        <w:rPr>
          <w:b w:val="false"/>
          <w:bCs w:val="false"/>
        </w:rPr>
        <w:tab/>
        <w:t>* Messagemaker: visits at Traffex in April, Birmingham</w:t>
      </w:r>
    </w:p>
    <w:p>
      <w:pPr>
        <w:pStyle w:val="Normal"/>
        <w:rPr/>
      </w:pPr>
      <w:r>
        <w:rPr>
          <w:b w:val="false"/>
          <w:bCs w:val="false"/>
        </w:rPr>
        <w:tab/>
        <w:t>* YLCA: latest funding and grants bulletin from NALC</w:t>
      </w:r>
    </w:p>
    <w:p>
      <w:pPr>
        <w:pStyle w:val="Normal"/>
        <w:rPr/>
      </w:pPr>
      <w:r>
        <w:rPr>
          <w:b w:val="false"/>
          <w:bCs w:val="false"/>
        </w:rPr>
        <w:tab/>
        <w:t>* YLCA: digital councils event, 25 May 2017, London</w:t>
      </w:r>
    </w:p>
    <w:p>
      <w:pPr>
        <w:pStyle w:val="Normal"/>
        <w:rPr/>
      </w:pPr>
      <w:r>
        <w:rPr>
          <w:b w:val="false"/>
          <w:bCs w:val="false"/>
        </w:rPr>
        <w:tab/>
        <w:t>* Yorkshire Dales Community Archives website launch event, 4 April 2017, Settle</w:t>
      </w:r>
    </w:p>
    <w:p>
      <w:pPr>
        <w:pStyle w:val="Normal"/>
        <w:rPr/>
      </w:pPr>
      <w:r>
        <w:rPr>
          <w:b w:val="false"/>
          <w:bCs w:val="false"/>
        </w:rPr>
        <w:tab/>
        <w:t>* Datacenta: Fibre to the Cabinet</w:t>
      </w:r>
    </w:p>
    <w:p>
      <w:pPr>
        <w:pStyle w:val="Normal"/>
        <w:rPr/>
      </w:pPr>
      <w:r>
        <w:rPr>
          <w:b w:val="false"/>
          <w:bCs w:val="false"/>
        </w:rPr>
        <w:tab/>
        <w:t>* Westminster Update: Women in Local Government, 26 April 2017 London</w:t>
      </w:r>
    </w:p>
    <w:p>
      <w:pPr>
        <w:pStyle w:val="Normal"/>
        <w:rPr/>
      </w:pPr>
      <w:r>
        <w:rPr>
          <w:b w:val="false"/>
          <w:bCs w:val="false"/>
        </w:rPr>
        <w:tab/>
        <w:t>* YLCA: 2017 Governance and Accountibility financial guide published</w:t>
      </w:r>
    </w:p>
    <w:p>
      <w:pPr>
        <w:pStyle w:val="Normal"/>
        <w:rPr/>
      </w:pPr>
      <w:r>
        <w:rPr>
          <w:b w:val="false"/>
          <w:bCs w:val="false"/>
        </w:rPr>
        <w:tab/>
        <w:t>* YLCA: Local Council Review – article in next edition on Neighbourhood Planning</w:t>
      </w:r>
    </w:p>
    <w:p>
      <w:pPr>
        <w:pStyle w:val="Normal"/>
        <w:rPr/>
      </w:pPr>
      <w:r>
        <w:rPr/>
        <w:tab/>
        <w:t>* YLCA: request for information – schemes to deal with dog related issues</w:t>
      </w:r>
    </w:p>
    <w:p>
      <w:pPr>
        <w:pStyle w:val="Normal"/>
        <w:rPr/>
      </w:pPr>
      <w:r>
        <w:rPr/>
        <w:tab/>
        <w:t xml:space="preserve">* </w:t>
      </w:r>
      <w:r>
        <w:rPr>
          <w:b w:val="false"/>
          <w:bCs w:val="false"/>
        </w:rPr>
        <w:t>Enventure: explore residents’ views through public consultation and engagement</w:t>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b/>
          <w:b/>
        </w:rPr>
      </w:pPr>
      <w:r>
        <w:rPr>
          <w:b/>
        </w:rPr>
        <w:t>To receive reports/comments on other matters for information only, or for inclusion on a future Agenda.</w:t>
      </w:r>
    </w:p>
    <w:p>
      <w:pPr>
        <w:pStyle w:val="Normal"/>
        <w:rPr/>
      </w:pPr>
      <w:r>
        <w:rPr>
          <w:b/>
          <w:bCs w:val="false"/>
        </w:rPr>
        <w:tab/>
      </w:r>
      <w:r>
        <w:rPr>
          <w:b w:val="false"/>
          <w:bCs w:val="false"/>
        </w:rPr>
        <w:t xml:space="preserve">* Settle Area Swimming Pool &amp; Settle Community Library &amp; Citizens Advice Bureau thank you </w:t>
        <w:tab/>
        <w:t xml:space="preserve"> </w:t>
        <w:tab/>
        <w:t xml:space="preserve">   letters for donation</w:t>
      </w:r>
    </w:p>
    <w:p>
      <w:pPr>
        <w:pStyle w:val="Normal"/>
        <w:rPr/>
      </w:pPr>
      <w:r>
        <w:rPr>
          <w:b w:val="false"/>
          <w:bCs w:val="false"/>
        </w:rPr>
        <w:tab/>
        <w:t>* YDNPA: cyclo sportives 2017</w:t>
      </w:r>
    </w:p>
    <w:p>
      <w:pPr>
        <w:pStyle w:val="Normal"/>
        <w:rPr/>
      </w:pPr>
      <w:r>
        <w:rPr>
          <w:b w:val="false"/>
          <w:bCs w:val="false"/>
        </w:rPr>
        <w:tab/>
        <w:t>* Parish Councillor survey</w:t>
      </w:r>
    </w:p>
    <w:p>
      <w:pPr>
        <w:pStyle w:val="Normal"/>
        <w:rPr>
          <w:b w:val="false"/>
          <w:b w:val="false"/>
          <w:bCs w:val="false"/>
        </w:rPr>
      </w:pPr>
      <w:r>
        <w:rPr>
          <w:b w:val="false"/>
          <w:bCs w:val="false"/>
        </w:rPr>
      </w:r>
    </w:p>
    <w:p>
      <w:pPr>
        <w:pStyle w:val="Normal"/>
        <w:numPr>
          <w:ilvl w:val="0"/>
          <w:numId w:val="1"/>
        </w:numPr>
        <w:rPr>
          <w:b/>
          <w:b/>
        </w:rPr>
      </w:pPr>
      <w:r>
        <w:rPr>
          <w:b/>
        </w:rPr>
        <w:t>To confirm the date of the Next Meeting.</w:t>
      </w:r>
    </w:p>
    <w:p>
      <w:pPr>
        <w:pStyle w:val="Normal"/>
        <w:ind w:left="360" w:hanging="0"/>
        <w:rPr/>
      </w:pPr>
      <w:r>
        <w:rPr/>
        <w:t>The Annual Meeting of the Parish Council will be held on Tuesday, the 9</w:t>
      </w:r>
      <w:r>
        <w:rPr>
          <w:vertAlign w:val="superscript"/>
        </w:rPr>
        <w:t>th</w:t>
      </w:r>
      <w:r>
        <w:rPr/>
        <w:t xml:space="preserve"> May 2017 at 19.00 hours (7.00pm), immediately followed by the ordinary meeting of the Parish Council. </w:t>
      </w:r>
    </w:p>
    <w:p>
      <w:pPr>
        <w:pStyle w:val="Normal"/>
        <w:rPr>
          <w:b/>
          <w:b/>
        </w:rPr>
      </w:pPr>
      <w:r>
        <w:rPr>
          <w:b/>
        </w:rPr>
      </w:r>
    </w:p>
    <w:p>
      <w:pPr>
        <w:pStyle w:val="Normal"/>
        <w:rPr>
          <w:b/>
          <w:b/>
        </w:rPr>
      </w:pPr>
      <w:r>
        <w:rPr>
          <w:b/>
        </w:rPr>
        <w:t>M. Hill</w:t>
      </w:r>
    </w:p>
    <w:p>
      <w:pPr>
        <w:pStyle w:val="Normal"/>
        <w:rPr/>
      </w:pPr>
      <w:r>
        <w:rPr>
          <w:b/>
        </w:rPr>
        <w:t>Clerk to the Council</w:t>
      </w:r>
      <w:r>
        <w:rPr/>
        <w:t xml:space="preserve">               </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b/>
    </w:rPr>
  </w:style>
  <w:style w:type="character" w:styleId="ListLabel148">
    <w:name w:val="ListLabel 148"/>
    <w:qFormat/>
    <w:rPr>
      <w:b/>
    </w:rPr>
  </w:style>
  <w:style w:type="character" w:styleId="ListLabel149">
    <w:name w:val="ListLabel 149"/>
    <w:qFormat/>
    <w:rPr>
      <w:b/>
    </w:rPr>
  </w:style>
  <w:style w:type="character" w:styleId="ListLabel150">
    <w:name w:val="ListLabel 150"/>
    <w:qFormat/>
    <w:rPr>
      <w:b/>
    </w:rPr>
  </w:style>
  <w:style w:type="character" w:styleId="ListLabel151">
    <w:name w:val="ListLabel 151"/>
    <w:qFormat/>
    <w:rPr>
      <w:b/>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b/>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b/>
    </w:rPr>
  </w:style>
  <w:style w:type="character" w:styleId="ListLabel178">
    <w:name w:val="ListLabel 178"/>
    <w:qFormat/>
    <w:rPr>
      <w:b/>
    </w:rPr>
  </w:style>
  <w:style w:type="character" w:styleId="ListLabel179">
    <w:name w:val="ListLabel 179"/>
    <w:qFormat/>
    <w:rPr>
      <w:b/>
    </w:rPr>
  </w:style>
  <w:style w:type="character" w:styleId="ListLabel180">
    <w:name w:val="ListLabel 180"/>
    <w:qFormat/>
    <w:rPr>
      <w:b/>
    </w:rPr>
  </w:style>
  <w:style w:type="character" w:styleId="ListLabel181">
    <w:name w:val="ListLabel 181"/>
    <w:qFormat/>
    <w:rPr>
      <w:b/>
    </w:rPr>
  </w:style>
  <w:style w:type="character" w:styleId="ListLabel182">
    <w:name w:val="ListLabel 182"/>
    <w:qFormat/>
    <w:rPr>
      <w:b/>
    </w:rPr>
  </w:style>
  <w:style w:type="character" w:styleId="ListLabel183">
    <w:name w:val="ListLabel 183"/>
    <w:qFormat/>
    <w:rPr>
      <w:b/>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b/>
    </w:rPr>
  </w:style>
  <w:style w:type="character" w:styleId="ListLabel187">
    <w:name w:val="ListLabel 187"/>
    <w:qFormat/>
    <w:rPr>
      <w:b/>
    </w:rPr>
  </w:style>
  <w:style w:type="character" w:styleId="ListLabel188">
    <w:name w:val="ListLabel 188"/>
    <w:qFormat/>
    <w:rPr>
      <w:b/>
    </w:rPr>
  </w:style>
  <w:style w:type="character" w:styleId="ListLabel189">
    <w:name w:val="ListLabel 189"/>
    <w:qFormat/>
    <w:rPr>
      <w:b/>
    </w:rPr>
  </w:style>
  <w:style w:type="character" w:styleId="ListLabel190">
    <w:name w:val="ListLabel 190"/>
    <w:qFormat/>
    <w:rPr>
      <w:b/>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b/>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b/>
    </w:rPr>
  </w:style>
  <w:style w:type="character" w:styleId="ListLabel216">
    <w:name w:val="ListLabel 216"/>
    <w:qFormat/>
    <w:rPr>
      <w:b/>
    </w:rPr>
  </w:style>
  <w:style w:type="character" w:styleId="ListLabel217">
    <w:name w:val="ListLabel 217"/>
    <w:qFormat/>
    <w:rPr>
      <w:b/>
    </w:rPr>
  </w:style>
  <w:style w:type="character" w:styleId="ListLabel218">
    <w:name w:val="ListLabel 218"/>
    <w:qFormat/>
    <w:rPr>
      <w:b/>
    </w:rPr>
  </w:style>
  <w:style w:type="character" w:styleId="ListLabel219">
    <w:name w:val="ListLabel 219"/>
    <w:qFormat/>
    <w:rPr>
      <w:b/>
    </w:rPr>
  </w:style>
  <w:style w:type="character" w:styleId="ListLabel220">
    <w:name w:val="ListLabel 220"/>
    <w:qFormat/>
    <w:rPr>
      <w:b/>
    </w:rPr>
  </w:style>
  <w:style w:type="character" w:styleId="ListLabel221">
    <w:name w:val="ListLabel 221"/>
    <w:qFormat/>
    <w:rPr>
      <w:b/>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b/>
    </w:rPr>
  </w:style>
  <w:style w:type="character" w:styleId="ListLabel225">
    <w:name w:val="ListLabel 225"/>
    <w:qFormat/>
    <w:rPr>
      <w:b/>
    </w:rPr>
  </w:style>
  <w:style w:type="character" w:styleId="ListLabel226">
    <w:name w:val="ListLabel 226"/>
    <w:qFormat/>
    <w:rPr>
      <w:b/>
    </w:rPr>
  </w:style>
  <w:style w:type="character" w:styleId="ListLabel227">
    <w:name w:val="ListLabel 227"/>
    <w:qFormat/>
    <w:rPr>
      <w:b/>
    </w:rPr>
  </w:style>
  <w:style w:type="character" w:styleId="ListLabel228">
    <w:name w:val="ListLabel 228"/>
    <w:qFormat/>
    <w:rPr>
      <w:b/>
    </w:rPr>
  </w:style>
  <w:style w:type="character" w:styleId="ListLabel229">
    <w:name w:val="ListLabel 229"/>
    <w:qFormat/>
    <w:rPr>
      <w:b/>
    </w:rPr>
  </w:style>
  <w:style w:type="character" w:styleId="ListLabel230">
    <w:name w:val="ListLabel 230"/>
    <w:qFormat/>
    <w:rPr>
      <w:b/>
    </w:rPr>
  </w:style>
  <w:style w:type="character" w:styleId="ListLabel231">
    <w:name w:val="ListLabel 231"/>
    <w:qFormat/>
    <w:rPr>
      <w:b/>
    </w:rPr>
  </w:style>
  <w:style w:type="character" w:styleId="ListLabel232">
    <w:name w:val="ListLabel 232"/>
    <w:qFormat/>
    <w:rPr>
      <w:b/>
    </w:rPr>
  </w:style>
  <w:style w:type="character" w:styleId="ListLabel233">
    <w:name w:val="ListLabel 233"/>
    <w:qFormat/>
    <w:rPr>
      <w:b/>
    </w:rPr>
  </w:style>
  <w:style w:type="character" w:styleId="ListLabel234">
    <w:name w:val="ListLabel 234"/>
    <w:qFormat/>
    <w:rPr>
      <w:b/>
    </w:rPr>
  </w:style>
  <w:style w:type="character" w:styleId="ListLabel235">
    <w:name w:val="ListLabel 235"/>
    <w:qFormat/>
    <w:rPr>
      <w:b/>
    </w:rPr>
  </w:style>
  <w:style w:type="character" w:styleId="ListLabel236">
    <w:name w:val="ListLabel 236"/>
    <w:qFormat/>
    <w:rPr>
      <w:b/>
    </w:rPr>
  </w:style>
  <w:style w:type="character" w:styleId="ListLabel237">
    <w:name w:val="ListLabel 237"/>
    <w:qFormat/>
    <w:rPr>
      <w:b/>
    </w:rPr>
  </w:style>
  <w:style w:type="character" w:styleId="ListLabel238">
    <w:name w:val="ListLabel 238"/>
    <w:qFormat/>
    <w:rPr>
      <w:b/>
    </w:rPr>
  </w:style>
  <w:style w:type="character" w:styleId="ListLabel239">
    <w:name w:val="ListLabel 239"/>
    <w:qFormat/>
    <w:rPr>
      <w:b/>
      <w:bCs/>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b/>
    </w:rPr>
  </w:style>
  <w:style w:type="character" w:styleId="ListLabel246">
    <w:name w:val="ListLabel 246"/>
    <w:qFormat/>
    <w:rPr>
      <w:b/>
    </w:rPr>
  </w:style>
  <w:style w:type="character" w:styleId="ListLabel247">
    <w:name w:val="ListLabel 247"/>
    <w:qFormat/>
    <w:rPr>
      <w:b/>
    </w:rPr>
  </w:style>
  <w:style w:type="character" w:styleId="ListLabel248">
    <w:name w:val="ListLabel 248"/>
    <w:qFormat/>
    <w:rPr>
      <w:b/>
      <w:bCs/>
    </w:rPr>
  </w:style>
  <w:style w:type="character" w:styleId="ListLabel249">
    <w:name w:val="ListLabel 249"/>
    <w:qFormat/>
    <w:rPr>
      <w:b/>
    </w:rPr>
  </w:style>
  <w:style w:type="character" w:styleId="ListLabel250">
    <w:name w:val="ListLabel 250"/>
    <w:qFormat/>
    <w:rPr>
      <w:b/>
    </w:rPr>
  </w:style>
  <w:style w:type="character" w:styleId="ListLabel251">
    <w:name w:val="ListLabel 251"/>
    <w:qFormat/>
    <w:rPr>
      <w:b/>
    </w:rPr>
  </w:style>
  <w:style w:type="character" w:styleId="ListLabel252">
    <w:name w:val="ListLabel 252"/>
    <w:qFormat/>
    <w:rPr>
      <w:b/>
    </w:rPr>
  </w:style>
  <w:style w:type="character" w:styleId="ListLabel253">
    <w:name w:val="ListLabel 253"/>
    <w:qFormat/>
    <w:rPr>
      <w:b/>
    </w:rPr>
  </w:style>
  <w:style w:type="character" w:styleId="ListLabel254">
    <w:name w:val="ListLabel 254"/>
    <w:qFormat/>
    <w:rPr>
      <w:b/>
    </w:rPr>
  </w:style>
  <w:style w:type="character" w:styleId="ListLabel255">
    <w:name w:val="ListLabel 255"/>
    <w:qFormat/>
    <w:rPr>
      <w:b/>
    </w:rPr>
  </w:style>
  <w:style w:type="character" w:styleId="ListLabel256">
    <w:name w:val="ListLabel 256"/>
    <w:qFormat/>
    <w:rPr>
      <w:b/>
    </w:rPr>
  </w:style>
  <w:style w:type="character" w:styleId="ListLabel257">
    <w:name w:val="ListLabel 257"/>
    <w:qFormat/>
    <w:rPr>
      <w:b/>
      <w:bCs/>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bCs/>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b/>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bCs/>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9A0-B151-41D0-876E-C4266E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Application>LibreOffice/5.3.0.3$Windows_X86_64 LibreOffice_project/7074905676c47b82bbcfbea1aeefc84afe1c50e1</Application>
  <Pages>3</Pages>
  <Words>1090</Words>
  <Characters>5766</Characters>
  <CharactersWithSpaces>6987</CharactersWithSpaces>
  <Paragraphs>88</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2017-03-29T13:19:45Z</cp:lastPrinted>
  <dcterms:modified xsi:type="dcterms:W3CDTF">2017-04-06T13:51:46Z</dcterms:modified>
  <cp:revision>31</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